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6C" w:rsidRDefault="00B9786C" w:rsidP="00783B81">
      <w:pPr>
        <w:jc w:val="both"/>
        <w:rPr>
          <w:rFonts w:ascii="Arial" w:hAnsi="Arial"/>
          <w:sz w:val="22"/>
        </w:rPr>
      </w:pPr>
      <w:bookmarkStart w:id="0" w:name="_GoBack"/>
      <w:bookmarkEnd w:id="0"/>
    </w:p>
    <w:tbl>
      <w:tblPr>
        <w:tblpPr w:leftFromText="180" w:rightFromText="180" w:vertAnchor="text" w:tblpX="15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362ABE" w:rsidRPr="00362ABE" w:rsidTr="00886651">
        <w:trPr>
          <w:trHeight w:val="239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E" w:rsidRPr="00362ABE" w:rsidRDefault="00362ABE" w:rsidP="006A0158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</w:p>
          <w:p w:rsidR="00362ABE" w:rsidRPr="00362ABE" w:rsidRDefault="00362ABE" w:rsidP="006A015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Cs w:val="24"/>
                <w:lang w:val="en-GB" w:eastAsia="en-GB"/>
              </w:rPr>
            </w:pPr>
            <w:r w:rsidRPr="00362ABE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 w:rsidRPr="00362ABE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  <w:p w:rsidR="00362ABE" w:rsidRPr="00362ABE" w:rsidRDefault="00362ABE" w:rsidP="006A015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  <w:lang w:val="en-GB" w:eastAsia="en-GB"/>
              </w:rPr>
            </w:pPr>
          </w:p>
          <w:p w:rsidR="00362ABE" w:rsidRPr="00362ABE" w:rsidRDefault="00362ABE" w:rsidP="006A015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  <w:lang w:val="en-GB" w:eastAsia="en-GB"/>
              </w:rPr>
            </w:pPr>
          </w:p>
        </w:tc>
      </w:tr>
    </w:tbl>
    <w:p w:rsidR="00362ABE" w:rsidRDefault="00362ABE" w:rsidP="00E16D7D">
      <w:pPr>
        <w:jc w:val="center"/>
        <w:rPr>
          <w:rFonts w:ascii="Arial" w:hAnsi="Arial"/>
          <w:b/>
          <w:sz w:val="28"/>
          <w:szCs w:val="28"/>
        </w:rPr>
      </w:pPr>
    </w:p>
    <w:p w:rsidR="00362ABE" w:rsidRDefault="00362ABE" w:rsidP="00E16D7D">
      <w:pPr>
        <w:jc w:val="center"/>
        <w:rPr>
          <w:rFonts w:ascii="Arial" w:hAnsi="Arial"/>
          <w:b/>
          <w:sz w:val="28"/>
          <w:szCs w:val="28"/>
        </w:rPr>
      </w:pPr>
    </w:p>
    <w:p w:rsidR="00362ABE" w:rsidRDefault="00362ABE" w:rsidP="00E16D7D">
      <w:pPr>
        <w:jc w:val="center"/>
        <w:rPr>
          <w:rFonts w:ascii="Arial" w:hAnsi="Arial"/>
          <w:b/>
          <w:sz w:val="28"/>
          <w:szCs w:val="28"/>
        </w:rPr>
      </w:pPr>
    </w:p>
    <w:p w:rsidR="00362ABE" w:rsidRDefault="00362ABE" w:rsidP="00E16D7D">
      <w:pPr>
        <w:jc w:val="center"/>
        <w:rPr>
          <w:rFonts w:ascii="Arial" w:hAnsi="Arial"/>
          <w:b/>
          <w:sz w:val="28"/>
          <w:szCs w:val="28"/>
        </w:rPr>
      </w:pPr>
    </w:p>
    <w:p w:rsidR="00362ABE" w:rsidRDefault="00362ABE" w:rsidP="00E16D7D">
      <w:pPr>
        <w:jc w:val="center"/>
        <w:rPr>
          <w:rFonts w:ascii="Arial" w:hAnsi="Arial"/>
          <w:b/>
          <w:sz w:val="28"/>
          <w:szCs w:val="28"/>
        </w:rPr>
      </w:pPr>
    </w:p>
    <w:p w:rsidR="00362ABE" w:rsidRDefault="00362ABE" w:rsidP="00E16D7D">
      <w:pPr>
        <w:jc w:val="center"/>
        <w:rPr>
          <w:rFonts w:ascii="Arial" w:hAnsi="Arial"/>
          <w:b/>
          <w:sz w:val="28"/>
          <w:szCs w:val="28"/>
        </w:rPr>
      </w:pPr>
    </w:p>
    <w:p w:rsidR="00362ABE" w:rsidRDefault="00362ABE" w:rsidP="00E16D7D">
      <w:pPr>
        <w:jc w:val="center"/>
        <w:rPr>
          <w:rFonts w:ascii="Arial" w:hAnsi="Arial"/>
          <w:b/>
          <w:sz w:val="28"/>
          <w:szCs w:val="28"/>
        </w:rPr>
      </w:pPr>
    </w:p>
    <w:p w:rsidR="00362ABE" w:rsidRDefault="00362ABE" w:rsidP="00E16D7D">
      <w:pPr>
        <w:jc w:val="center"/>
        <w:rPr>
          <w:rFonts w:ascii="Arial" w:hAnsi="Arial"/>
          <w:b/>
          <w:sz w:val="28"/>
          <w:szCs w:val="28"/>
        </w:rPr>
      </w:pPr>
    </w:p>
    <w:p w:rsidR="006A0158" w:rsidRDefault="006A0158" w:rsidP="00E16D7D">
      <w:pPr>
        <w:jc w:val="center"/>
        <w:rPr>
          <w:rFonts w:ascii="Arial" w:hAnsi="Arial"/>
          <w:b/>
          <w:sz w:val="28"/>
          <w:szCs w:val="28"/>
        </w:rPr>
      </w:pPr>
    </w:p>
    <w:p w:rsidR="00B9786C" w:rsidRPr="00E16D7D" w:rsidRDefault="00E16D7D" w:rsidP="00E16D7D">
      <w:pPr>
        <w:jc w:val="center"/>
        <w:rPr>
          <w:rFonts w:ascii="Arial" w:hAnsi="Arial"/>
          <w:b/>
          <w:sz w:val="28"/>
          <w:szCs w:val="28"/>
        </w:rPr>
      </w:pPr>
      <w:r w:rsidRPr="00E16D7D">
        <w:rPr>
          <w:rFonts w:ascii="Arial" w:hAnsi="Arial"/>
          <w:b/>
          <w:sz w:val="28"/>
          <w:szCs w:val="28"/>
        </w:rPr>
        <w:t>SPECIAL LEAVE POLICY</w:t>
      </w:r>
      <w:r>
        <w:rPr>
          <w:rFonts w:ascii="Arial" w:hAnsi="Arial"/>
          <w:b/>
          <w:sz w:val="28"/>
          <w:szCs w:val="28"/>
        </w:rPr>
        <w:br/>
      </w:r>
    </w:p>
    <w:p w:rsidR="00B9786C" w:rsidRDefault="00B9786C" w:rsidP="00783B81">
      <w:pPr>
        <w:rPr>
          <w:rFonts w:ascii="Arial" w:hAnsi="Arial"/>
          <w:b/>
        </w:rPr>
      </w:pPr>
    </w:p>
    <w:p w:rsidR="00B9786C" w:rsidRPr="00E16D7D" w:rsidRDefault="00B9786C" w:rsidP="00783B81">
      <w:pPr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 xml:space="preserve">On condition that acceptable documentary proof is submitted to substantiate the specific application, </w:t>
      </w:r>
      <w:r w:rsidR="00783B81" w:rsidRPr="00E16D7D">
        <w:rPr>
          <w:rFonts w:ascii="Arial" w:hAnsi="Arial"/>
          <w:bCs/>
          <w:sz w:val="20"/>
        </w:rPr>
        <w:t>special leave</w:t>
      </w:r>
      <w:r w:rsidRPr="00E16D7D">
        <w:rPr>
          <w:rFonts w:ascii="Arial" w:hAnsi="Arial"/>
          <w:sz w:val="20"/>
        </w:rPr>
        <w:t xml:space="preserve"> may be considered in the following instances:</w:t>
      </w:r>
    </w:p>
    <w:p w:rsidR="00B9786C" w:rsidRPr="00E16D7D" w:rsidRDefault="00B9786C" w:rsidP="00783B81">
      <w:pPr>
        <w:rPr>
          <w:rFonts w:ascii="Arial" w:hAnsi="Arial"/>
          <w:sz w:val="20"/>
        </w:rPr>
      </w:pPr>
    </w:p>
    <w:p w:rsidR="00B9786C" w:rsidRPr="00E16D7D" w:rsidRDefault="00783B81" w:rsidP="00783B81">
      <w:pPr>
        <w:numPr>
          <w:ilvl w:val="0"/>
          <w:numId w:val="1"/>
        </w:numPr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To study for and/</w:t>
      </w:r>
      <w:r w:rsidR="00B9786C" w:rsidRPr="00E16D7D">
        <w:rPr>
          <w:rFonts w:ascii="Arial" w:hAnsi="Arial"/>
          <w:sz w:val="20"/>
        </w:rPr>
        <w:t>or write examinations set by a recognised training and educational institution</w:t>
      </w:r>
    </w:p>
    <w:p w:rsidR="00B9786C" w:rsidRPr="00E16D7D" w:rsidRDefault="00B9786C" w:rsidP="00783B81">
      <w:pPr>
        <w:numPr>
          <w:ilvl w:val="0"/>
          <w:numId w:val="1"/>
        </w:numPr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To participate in recognised sport activities at provincial or national level</w:t>
      </w:r>
    </w:p>
    <w:p w:rsidR="00B9786C" w:rsidRPr="00E16D7D" w:rsidRDefault="00B9786C" w:rsidP="00783B81">
      <w:pPr>
        <w:numPr>
          <w:ilvl w:val="0"/>
          <w:numId w:val="1"/>
        </w:numPr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To receive military training</w:t>
      </w:r>
    </w:p>
    <w:p w:rsidR="00B9786C" w:rsidRPr="00E16D7D" w:rsidRDefault="00B9786C" w:rsidP="00783B81">
      <w:pPr>
        <w:numPr>
          <w:ilvl w:val="0"/>
          <w:numId w:val="1"/>
        </w:numPr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To appear as a State witness</w:t>
      </w:r>
    </w:p>
    <w:p w:rsidR="00B9786C" w:rsidRPr="00E16D7D" w:rsidRDefault="00B9786C" w:rsidP="00783B81">
      <w:pPr>
        <w:numPr>
          <w:ilvl w:val="0"/>
          <w:numId w:val="1"/>
        </w:numPr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To relocate or transfer to a new location</w:t>
      </w:r>
    </w:p>
    <w:p w:rsidR="00B9786C" w:rsidRPr="00E16D7D" w:rsidRDefault="00B9786C" w:rsidP="00783B81">
      <w:pPr>
        <w:rPr>
          <w:rFonts w:ascii="Arial" w:hAnsi="Arial"/>
          <w:sz w:val="20"/>
        </w:rPr>
      </w:pPr>
    </w:p>
    <w:p w:rsidR="00B9786C" w:rsidRPr="00E16D7D" w:rsidRDefault="00783B81" w:rsidP="00783B81">
      <w:pPr>
        <w:numPr>
          <w:ilvl w:val="0"/>
          <w:numId w:val="2"/>
        </w:numPr>
        <w:rPr>
          <w:rFonts w:ascii="Arial" w:hAnsi="Arial"/>
          <w:b/>
          <w:sz w:val="20"/>
        </w:rPr>
      </w:pPr>
      <w:r w:rsidRPr="00E16D7D">
        <w:rPr>
          <w:rFonts w:ascii="Arial" w:hAnsi="Arial"/>
          <w:b/>
          <w:sz w:val="20"/>
        </w:rPr>
        <w:t>To study for and/or write examinations</w:t>
      </w:r>
    </w:p>
    <w:p w:rsidR="00B9786C" w:rsidRPr="00E16D7D" w:rsidRDefault="00B9786C" w:rsidP="00783B81">
      <w:pPr>
        <w:rPr>
          <w:rFonts w:ascii="Arial" w:hAnsi="Arial"/>
          <w:b/>
          <w:sz w:val="20"/>
        </w:rPr>
      </w:pPr>
    </w:p>
    <w:p w:rsidR="00B9786C" w:rsidRPr="00E16D7D" w:rsidRDefault="00B9786C" w:rsidP="00E16D7D">
      <w:pPr>
        <w:pStyle w:val="BodyTextIndent"/>
        <w:ind w:left="567" w:firstLine="0"/>
        <w:rPr>
          <w:sz w:val="20"/>
          <w:lang w:val="en-ZA"/>
        </w:rPr>
      </w:pPr>
      <w:r w:rsidRPr="00E16D7D">
        <w:rPr>
          <w:sz w:val="20"/>
          <w:lang w:val="en-ZA"/>
        </w:rPr>
        <w:t>Study and examination leave shall only be granted if the study has been cleared with the relevant Department Head, is relevant to the employee’s current line of work or</w:t>
      </w:r>
      <w:r w:rsidR="00783B81" w:rsidRPr="00E16D7D">
        <w:rPr>
          <w:sz w:val="20"/>
          <w:lang w:val="en-ZA"/>
        </w:rPr>
        <w:t xml:space="preserve"> is</w:t>
      </w:r>
      <w:r w:rsidRPr="00E16D7D">
        <w:rPr>
          <w:sz w:val="20"/>
          <w:lang w:val="en-ZA"/>
        </w:rPr>
        <w:t xml:space="preserve"> in line with the employee’s career development plan and proof in the form of a formal timetable and course registration certificates is supplied with the application.</w:t>
      </w:r>
    </w:p>
    <w:p w:rsidR="00B9786C" w:rsidRPr="00E16D7D" w:rsidRDefault="00B9786C" w:rsidP="00E16D7D">
      <w:pPr>
        <w:ind w:left="567"/>
        <w:jc w:val="both"/>
        <w:rPr>
          <w:rFonts w:ascii="Arial" w:hAnsi="Arial"/>
          <w:sz w:val="20"/>
        </w:rPr>
      </w:pPr>
    </w:p>
    <w:p w:rsidR="00B9786C" w:rsidRPr="00E16D7D" w:rsidRDefault="00B9786C" w:rsidP="00E16D7D">
      <w:pPr>
        <w:ind w:left="567"/>
        <w:jc w:val="both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One day</w:t>
      </w:r>
      <w:r w:rsidR="008E5A45" w:rsidRPr="00E16D7D">
        <w:rPr>
          <w:rFonts w:ascii="Arial" w:hAnsi="Arial"/>
          <w:sz w:val="20"/>
        </w:rPr>
        <w:t>’</w:t>
      </w:r>
      <w:r w:rsidR="00783B81" w:rsidRPr="00E16D7D">
        <w:rPr>
          <w:rFonts w:ascii="Arial" w:hAnsi="Arial"/>
          <w:sz w:val="20"/>
        </w:rPr>
        <w:t>s</w:t>
      </w:r>
      <w:r w:rsidRPr="00E16D7D">
        <w:rPr>
          <w:rFonts w:ascii="Arial" w:hAnsi="Arial"/>
          <w:sz w:val="20"/>
        </w:rPr>
        <w:t xml:space="preserve"> special leave is granted for every day on wh</w:t>
      </w:r>
      <w:r w:rsidR="00783B81" w:rsidRPr="00E16D7D">
        <w:rPr>
          <w:rFonts w:ascii="Arial" w:hAnsi="Arial"/>
          <w:sz w:val="20"/>
        </w:rPr>
        <w:t xml:space="preserve">ich an examination is written. </w:t>
      </w:r>
      <w:r w:rsidRPr="00E16D7D">
        <w:rPr>
          <w:rFonts w:ascii="Arial" w:hAnsi="Arial"/>
          <w:sz w:val="20"/>
        </w:rPr>
        <w:t>If the preceding day is a working day, one day’s study leave is also gran</w:t>
      </w:r>
      <w:r w:rsidR="00783B81" w:rsidRPr="00E16D7D">
        <w:rPr>
          <w:rFonts w:ascii="Arial" w:hAnsi="Arial"/>
          <w:sz w:val="20"/>
        </w:rPr>
        <w:t xml:space="preserve">ted. </w:t>
      </w:r>
      <w:r w:rsidRPr="00E16D7D">
        <w:rPr>
          <w:rFonts w:ascii="Arial" w:hAnsi="Arial"/>
          <w:sz w:val="20"/>
        </w:rPr>
        <w:t>A max</w:t>
      </w:r>
      <w:r w:rsidR="00783B81" w:rsidRPr="00E16D7D">
        <w:rPr>
          <w:rFonts w:ascii="Arial" w:hAnsi="Arial"/>
          <w:sz w:val="20"/>
        </w:rPr>
        <w:t>imum of 15 working days</w:t>
      </w:r>
      <w:r w:rsidR="008E5A45" w:rsidRPr="00E16D7D">
        <w:rPr>
          <w:rFonts w:ascii="Arial" w:hAnsi="Arial"/>
          <w:sz w:val="20"/>
        </w:rPr>
        <w:t>’</w:t>
      </w:r>
      <w:r w:rsidR="00783B81" w:rsidRPr="00E16D7D">
        <w:rPr>
          <w:rFonts w:ascii="Arial" w:hAnsi="Arial"/>
          <w:sz w:val="20"/>
        </w:rPr>
        <w:t xml:space="preserve"> study/</w:t>
      </w:r>
      <w:r w:rsidRPr="00E16D7D">
        <w:rPr>
          <w:rFonts w:ascii="Arial" w:hAnsi="Arial"/>
          <w:sz w:val="20"/>
        </w:rPr>
        <w:t>examination leave may be granted per annum.</w:t>
      </w:r>
    </w:p>
    <w:p w:rsidR="00B9786C" w:rsidRPr="00E16D7D" w:rsidRDefault="00B9786C" w:rsidP="00E16D7D">
      <w:pPr>
        <w:ind w:left="567"/>
        <w:jc w:val="both"/>
        <w:rPr>
          <w:rFonts w:ascii="Arial" w:hAnsi="Arial"/>
          <w:sz w:val="20"/>
        </w:rPr>
      </w:pPr>
    </w:p>
    <w:p w:rsidR="00B9786C" w:rsidRPr="00E16D7D" w:rsidRDefault="00B9786C" w:rsidP="00E16D7D">
      <w:pPr>
        <w:ind w:left="567"/>
        <w:jc w:val="both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In the case of approved post graduate examinations two days</w:t>
      </w:r>
      <w:r w:rsidR="008E5A45" w:rsidRPr="00E16D7D">
        <w:rPr>
          <w:rFonts w:ascii="Arial" w:hAnsi="Arial"/>
          <w:sz w:val="20"/>
        </w:rPr>
        <w:t>’</w:t>
      </w:r>
      <w:r w:rsidRPr="00E16D7D">
        <w:rPr>
          <w:rFonts w:ascii="Arial" w:hAnsi="Arial"/>
          <w:sz w:val="20"/>
        </w:rPr>
        <w:t xml:space="preserve"> study leave may be granted per subject up to a maximum of 15 working days per annum.</w:t>
      </w:r>
    </w:p>
    <w:p w:rsidR="00B9786C" w:rsidRPr="00E16D7D" w:rsidRDefault="00B9786C" w:rsidP="00E16D7D">
      <w:pPr>
        <w:ind w:left="567"/>
        <w:jc w:val="both"/>
        <w:rPr>
          <w:rFonts w:ascii="Arial" w:hAnsi="Arial"/>
          <w:sz w:val="20"/>
        </w:rPr>
      </w:pPr>
    </w:p>
    <w:p w:rsidR="00B9786C" w:rsidRPr="00E16D7D" w:rsidRDefault="00B9786C" w:rsidP="00E16D7D">
      <w:pPr>
        <w:ind w:left="567"/>
        <w:jc w:val="both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No study leave is gran</w:t>
      </w:r>
      <w:r w:rsidR="00783B81" w:rsidRPr="00E16D7D">
        <w:rPr>
          <w:rFonts w:ascii="Arial" w:hAnsi="Arial"/>
          <w:sz w:val="20"/>
        </w:rPr>
        <w:t>ted in respect of</w:t>
      </w:r>
      <w:r w:rsidRPr="00E16D7D">
        <w:rPr>
          <w:rFonts w:ascii="Arial" w:hAnsi="Arial"/>
          <w:sz w:val="20"/>
        </w:rPr>
        <w:t xml:space="preserve"> re-examinations.</w:t>
      </w:r>
    </w:p>
    <w:p w:rsidR="00B9786C" w:rsidRPr="00E16D7D" w:rsidRDefault="00B9786C" w:rsidP="00783B81">
      <w:pPr>
        <w:ind w:left="567"/>
        <w:rPr>
          <w:rFonts w:ascii="Arial" w:hAnsi="Arial"/>
          <w:sz w:val="20"/>
        </w:rPr>
      </w:pPr>
    </w:p>
    <w:p w:rsidR="00B9786C" w:rsidRPr="00E16D7D" w:rsidRDefault="00783B81" w:rsidP="00783B81">
      <w:pPr>
        <w:numPr>
          <w:ilvl w:val="0"/>
          <w:numId w:val="2"/>
        </w:numPr>
        <w:rPr>
          <w:rFonts w:ascii="Arial" w:hAnsi="Arial"/>
          <w:sz w:val="20"/>
        </w:rPr>
      </w:pPr>
      <w:r w:rsidRPr="00E16D7D">
        <w:rPr>
          <w:rFonts w:ascii="Arial" w:hAnsi="Arial"/>
          <w:b/>
          <w:sz w:val="20"/>
        </w:rPr>
        <w:t>To participate in recognised sport activities at provincial or national level</w:t>
      </w:r>
    </w:p>
    <w:p w:rsidR="00B9786C" w:rsidRPr="00E16D7D" w:rsidRDefault="00B9786C" w:rsidP="00783B81">
      <w:pPr>
        <w:rPr>
          <w:rFonts w:ascii="Arial" w:hAnsi="Arial"/>
          <w:b/>
          <w:sz w:val="20"/>
        </w:rPr>
      </w:pPr>
    </w:p>
    <w:p w:rsidR="00B9786C" w:rsidRPr="00E16D7D" w:rsidRDefault="00B9786C" w:rsidP="00E16D7D">
      <w:pPr>
        <w:pStyle w:val="BodyTextIndent"/>
        <w:ind w:left="567" w:firstLine="0"/>
        <w:rPr>
          <w:sz w:val="20"/>
          <w:lang w:val="en-ZA"/>
        </w:rPr>
      </w:pPr>
      <w:r w:rsidRPr="00E16D7D">
        <w:rPr>
          <w:sz w:val="20"/>
          <w:lang w:val="en-ZA"/>
        </w:rPr>
        <w:t>Where an employee has b</w:t>
      </w:r>
      <w:r w:rsidR="00783B81" w:rsidRPr="00E16D7D">
        <w:rPr>
          <w:sz w:val="20"/>
          <w:lang w:val="en-ZA"/>
        </w:rPr>
        <w:t>een selected to represent his/</w:t>
      </w:r>
      <w:r w:rsidR="008E5A45" w:rsidRPr="00E16D7D">
        <w:rPr>
          <w:sz w:val="20"/>
          <w:lang w:val="en-ZA"/>
        </w:rPr>
        <w:t>her p</w:t>
      </w:r>
      <w:r w:rsidRPr="00E16D7D">
        <w:rPr>
          <w:sz w:val="20"/>
          <w:lang w:val="en-ZA"/>
        </w:rPr>
        <w:t>rovince or the Republic of South Africa</w:t>
      </w:r>
    </w:p>
    <w:p w:rsidR="00B9786C" w:rsidRPr="00E16D7D" w:rsidRDefault="00B9786C" w:rsidP="00E16D7D">
      <w:pPr>
        <w:ind w:left="567"/>
        <w:jc w:val="both"/>
        <w:rPr>
          <w:rFonts w:ascii="Arial" w:hAnsi="Arial"/>
          <w:sz w:val="20"/>
        </w:rPr>
      </w:pPr>
    </w:p>
    <w:p w:rsidR="00B9786C" w:rsidRPr="00E16D7D" w:rsidRDefault="00B9786C" w:rsidP="00E16D7D">
      <w:pPr>
        <w:numPr>
          <w:ilvl w:val="0"/>
          <w:numId w:val="3"/>
        </w:numPr>
        <w:tabs>
          <w:tab w:val="clear" w:pos="720"/>
          <w:tab w:val="num" w:pos="1134"/>
        </w:tabs>
        <w:ind w:left="1134" w:hanging="567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as a member of a sports team recognised by the National Sports Congress;</w:t>
      </w:r>
    </w:p>
    <w:p w:rsidR="00B9786C" w:rsidRPr="00E16D7D" w:rsidRDefault="00B9786C" w:rsidP="00E16D7D">
      <w:pPr>
        <w:numPr>
          <w:ilvl w:val="0"/>
          <w:numId w:val="3"/>
        </w:numPr>
        <w:tabs>
          <w:tab w:val="clear" w:pos="720"/>
          <w:tab w:val="num" w:pos="1134"/>
        </w:tabs>
        <w:ind w:left="1134" w:hanging="567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as a manager or coach of such a team; or</w:t>
      </w:r>
    </w:p>
    <w:p w:rsidR="00E16D7D" w:rsidRDefault="00B9786C" w:rsidP="00E16D7D">
      <w:pPr>
        <w:numPr>
          <w:ilvl w:val="0"/>
          <w:numId w:val="3"/>
        </w:numPr>
        <w:tabs>
          <w:tab w:val="clear" w:pos="720"/>
          <w:tab w:val="num" w:pos="1134"/>
        </w:tabs>
        <w:ind w:left="1134" w:hanging="567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 xml:space="preserve">as a referee, </w:t>
      </w:r>
    </w:p>
    <w:p w:rsidR="00B9786C" w:rsidRPr="00E16D7D" w:rsidRDefault="00B9786C" w:rsidP="00E16D7D">
      <w:pPr>
        <w:tabs>
          <w:tab w:val="num" w:pos="1134"/>
        </w:tabs>
        <w:ind w:left="567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>special paid leave may be granted upon submission of substantiated proof.</w:t>
      </w:r>
    </w:p>
    <w:p w:rsidR="00B9786C" w:rsidRPr="00E16D7D" w:rsidRDefault="00B9786C" w:rsidP="00E16D7D">
      <w:pPr>
        <w:ind w:left="1134" w:hanging="567"/>
        <w:jc w:val="both"/>
        <w:rPr>
          <w:rFonts w:ascii="Arial" w:hAnsi="Arial"/>
          <w:sz w:val="20"/>
        </w:rPr>
      </w:pPr>
    </w:p>
    <w:p w:rsidR="00B9786C" w:rsidRPr="00E16D7D" w:rsidRDefault="00B9786C" w:rsidP="00E16D7D">
      <w:pPr>
        <w:ind w:left="1134" w:hanging="567"/>
        <w:jc w:val="both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 xml:space="preserve">For international participation </w:t>
      </w:r>
      <w:r w:rsidR="00E16D7D">
        <w:rPr>
          <w:rFonts w:ascii="Arial" w:hAnsi="Arial"/>
          <w:sz w:val="20"/>
        </w:rPr>
        <w:tab/>
      </w:r>
      <w:r w:rsidRPr="00E16D7D">
        <w:rPr>
          <w:rFonts w:ascii="Arial" w:hAnsi="Arial"/>
          <w:sz w:val="20"/>
        </w:rPr>
        <w:t>– up to 25 working days per annum.</w:t>
      </w:r>
    </w:p>
    <w:p w:rsidR="00B9786C" w:rsidRPr="00E16D7D" w:rsidRDefault="00B9786C" w:rsidP="00E16D7D">
      <w:pPr>
        <w:ind w:left="1134" w:hanging="567"/>
        <w:jc w:val="both"/>
        <w:rPr>
          <w:rFonts w:ascii="Arial" w:hAnsi="Arial"/>
          <w:sz w:val="20"/>
        </w:rPr>
      </w:pPr>
      <w:r w:rsidRPr="00E16D7D">
        <w:rPr>
          <w:rFonts w:ascii="Arial" w:hAnsi="Arial"/>
          <w:sz w:val="20"/>
        </w:rPr>
        <w:t xml:space="preserve">For provincial competitions </w:t>
      </w:r>
      <w:r w:rsidR="00E16D7D">
        <w:rPr>
          <w:rFonts w:ascii="Arial" w:hAnsi="Arial"/>
          <w:sz w:val="20"/>
        </w:rPr>
        <w:tab/>
      </w:r>
      <w:r w:rsidRPr="00E16D7D">
        <w:rPr>
          <w:rFonts w:ascii="Arial" w:hAnsi="Arial"/>
          <w:sz w:val="20"/>
        </w:rPr>
        <w:t>– up to 14 working days per annum.</w:t>
      </w:r>
    </w:p>
    <w:p w:rsidR="00B9786C" w:rsidRPr="00E16D7D" w:rsidRDefault="00B9786C" w:rsidP="00E16D7D">
      <w:pPr>
        <w:jc w:val="both"/>
        <w:rPr>
          <w:rFonts w:ascii="Arial" w:hAnsi="Arial"/>
          <w:sz w:val="20"/>
        </w:rPr>
      </w:pPr>
    </w:p>
    <w:p w:rsidR="00B9786C" w:rsidRPr="00E16D7D" w:rsidRDefault="00B9786C" w:rsidP="00E16D7D">
      <w:pPr>
        <w:pStyle w:val="BodyTextIndent"/>
        <w:ind w:left="567" w:firstLine="0"/>
        <w:rPr>
          <w:sz w:val="20"/>
          <w:lang w:val="en-ZA"/>
        </w:rPr>
      </w:pPr>
      <w:r w:rsidRPr="00E16D7D">
        <w:rPr>
          <w:sz w:val="20"/>
          <w:lang w:val="en-ZA"/>
        </w:rPr>
        <w:lastRenderedPageBreak/>
        <w:t>If extended special leave is required, norm</w:t>
      </w:r>
      <w:r w:rsidR="00783B81" w:rsidRPr="00E16D7D">
        <w:rPr>
          <w:sz w:val="20"/>
          <w:lang w:val="en-ZA"/>
        </w:rPr>
        <w:t xml:space="preserve">al annual leave must be taken. </w:t>
      </w:r>
      <w:r w:rsidRPr="00E16D7D">
        <w:rPr>
          <w:sz w:val="20"/>
          <w:lang w:val="en-ZA"/>
        </w:rPr>
        <w:t>If an employ</w:t>
      </w:r>
      <w:r w:rsidR="00783B81" w:rsidRPr="00E16D7D">
        <w:rPr>
          <w:sz w:val="20"/>
          <w:lang w:val="en-ZA"/>
        </w:rPr>
        <w:t>ee has no annual leave to his/her credit, m</w:t>
      </w:r>
      <w:r w:rsidRPr="00E16D7D">
        <w:rPr>
          <w:sz w:val="20"/>
          <w:lang w:val="en-ZA"/>
        </w:rPr>
        <w:t>anagement may consider unpaid leave for a maximum period of 14 working days.</w:t>
      </w:r>
    </w:p>
    <w:p w:rsidR="00B9786C" w:rsidRPr="00E16D7D" w:rsidRDefault="00B9786C" w:rsidP="00E16D7D">
      <w:pPr>
        <w:pStyle w:val="BodyTextIndent"/>
        <w:rPr>
          <w:sz w:val="20"/>
          <w:lang w:val="en-ZA"/>
        </w:rPr>
      </w:pPr>
    </w:p>
    <w:p w:rsidR="00B9786C" w:rsidRPr="00E16D7D" w:rsidRDefault="00B9786C" w:rsidP="00E16D7D">
      <w:pPr>
        <w:pStyle w:val="BodyTextIndent"/>
        <w:ind w:left="567" w:firstLine="0"/>
        <w:rPr>
          <w:sz w:val="20"/>
          <w:lang w:val="en-ZA"/>
        </w:rPr>
      </w:pPr>
      <w:r w:rsidRPr="00E16D7D">
        <w:rPr>
          <w:sz w:val="20"/>
          <w:lang w:val="en-ZA"/>
        </w:rPr>
        <w:t>The normal procedure for leave app</w:t>
      </w:r>
      <w:r w:rsidR="007D441E" w:rsidRPr="00E16D7D">
        <w:rPr>
          <w:sz w:val="20"/>
          <w:lang w:val="en-ZA"/>
        </w:rPr>
        <w:t>lications must be followed.</w:t>
      </w:r>
      <w:r w:rsidRPr="00E16D7D">
        <w:rPr>
          <w:sz w:val="20"/>
          <w:lang w:val="en-ZA"/>
        </w:rPr>
        <w:t xml:space="preserve"> Notwithstanding the above, this type of leave is subject to board approval.</w:t>
      </w:r>
    </w:p>
    <w:p w:rsidR="00B9786C" w:rsidRPr="00E16D7D" w:rsidRDefault="00B9786C" w:rsidP="00783B81">
      <w:pPr>
        <w:pStyle w:val="BodyTextIndent"/>
        <w:ind w:left="709" w:firstLine="0"/>
        <w:jc w:val="left"/>
        <w:rPr>
          <w:sz w:val="20"/>
          <w:lang w:val="en-ZA"/>
        </w:rPr>
      </w:pPr>
    </w:p>
    <w:p w:rsidR="00B9786C" w:rsidRPr="00E16D7D" w:rsidRDefault="007D441E" w:rsidP="00783B81">
      <w:pPr>
        <w:pStyle w:val="BodyTextIndent"/>
        <w:numPr>
          <w:ilvl w:val="0"/>
          <w:numId w:val="2"/>
        </w:numPr>
        <w:jc w:val="left"/>
        <w:rPr>
          <w:b/>
          <w:sz w:val="20"/>
          <w:lang w:val="en-ZA"/>
        </w:rPr>
      </w:pPr>
      <w:r w:rsidRPr="00E16D7D">
        <w:rPr>
          <w:b/>
          <w:sz w:val="20"/>
          <w:lang w:val="en-ZA"/>
        </w:rPr>
        <w:t>To receive compulsory military training</w:t>
      </w:r>
    </w:p>
    <w:p w:rsidR="00B9786C" w:rsidRPr="00E16D7D" w:rsidRDefault="00B9786C" w:rsidP="00783B81">
      <w:pPr>
        <w:pStyle w:val="BodyTextIndent"/>
        <w:jc w:val="left"/>
        <w:rPr>
          <w:b/>
          <w:sz w:val="20"/>
          <w:lang w:val="en-ZA"/>
        </w:rPr>
      </w:pPr>
    </w:p>
    <w:p w:rsidR="00B9786C" w:rsidRPr="00E16D7D" w:rsidRDefault="00B9786C" w:rsidP="00E16D7D">
      <w:pPr>
        <w:pStyle w:val="BodyTextIndent"/>
        <w:ind w:left="567" w:firstLine="0"/>
        <w:rPr>
          <w:sz w:val="20"/>
          <w:lang w:val="en-ZA"/>
        </w:rPr>
      </w:pPr>
      <w:r w:rsidRPr="00E16D7D">
        <w:rPr>
          <w:sz w:val="20"/>
          <w:lang w:val="en-ZA"/>
        </w:rPr>
        <w:t>Special leave to attend a military training course or camp may be granted subject to the submission of the written call-up instructions.</w:t>
      </w:r>
    </w:p>
    <w:p w:rsidR="00B9786C" w:rsidRDefault="00B9786C" w:rsidP="00783B81">
      <w:pPr>
        <w:pStyle w:val="BodyTextIndent"/>
        <w:jc w:val="left"/>
        <w:rPr>
          <w:sz w:val="20"/>
          <w:lang w:val="en-ZA"/>
        </w:rPr>
      </w:pPr>
    </w:p>
    <w:p w:rsidR="00B9786C" w:rsidRPr="00E16D7D" w:rsidRDefault="008E5A45" w:rsidP="00783B81">
      <w:pPr>
        <w:pStyle w:val="BodyTextIndent"/>
        <w:numPr>
          <w:ilvl w:val="0"/>
          <w:numId w:val="2"/>
        </w:numPr>
        <w:jc w:val="left"/>
        <w:rPr>
          <w:b/>
          <w:sz w:val="20"/>
          <w:lang w:val="en-ZA"/>
        </w:rPr>
      </w:pPr>
      <w:r w:rsidRPr="00E16D7D">
        <w:rPr>
          <w:b/>
          <w:sz w:val="20"/>
          <w:lang w:val="en-ZA"/>
        </w:rPr>
        <w:t>To appear as a S</w:t>
      </w:r>
      <w:r w:rsidR="007D441E" w:rsidRPr="00E16D7D">
        <w:rPr>
          <w:b/>
          <w:sz w:val="20"/>
          <w:lang w:val="en-ZA"/>
        </w:rPr>
        <w:t>tate witness</w:t>
      </w:r>
    </w:p>
    <w:p w:rsidR="00B9786C" w:rsidRPr="00E16D7D" w:rsidRDefault="00B9786C" w:rsidP="00783B81">
      <w:pPr>
        <w:pStyle w:val="BodyTextIndent"/>
        <w:jc w:val="left"/>
        <w:rPr>
          <w:b/>
          <w:sz w:val="20"/>
          <w:lang w:val="en-ZA"/>
        </w:rPr>
      </w:pPr>
    </w:p>
    <w:p w:rsidR="00B9786C" w:rsidRPr="00E16D7D" w:rsidRDefault="00B9786C" w:rsidP="00E16D7D">
      <w:pPr>
        <w:pStyle w:val="BodyTextIndent"/>
        <w:ind w:left="567" w:firstLine="0"/>
        <w:rPr>
          <w:sz w:val="20"/>
          <w:lang w:val="en-ZA"/>
        </w:rPr>
      </w:pPr>
      <w:r w:rsidRPr="00E16D7D">
        <w:rPr>
          <w:sz w:val="20"/>
          <w:lang w:val="en-ZA"/>
        </w:rPr>
        <w:t>Where an employee has been summon</w:t>
      </w:r>
      <w:r w:rsidR="008E5A45" w:rsidRPr="00E16D7D">
        <w:rPr>
          <w:sz w:val="20"/>
          <w:lang w:val="en-ZA"/>
        </w:rPr>
        <w:t>s</w:t>
      </w:r>
      <w:r w:rsidRPr="00E16D7D">
        <w:rPr>
          <w:sz w:val="20"/>
          <w:lang w:val="en-ZA"/>
        </w:rPr>
        <w:t>ed to appear as a State witness in a court case, s</w:t>
      </w:r>
      <w:r w:rsidR="00160453" w:rsidRPr="00E16D7D">
        <w:rPr>
          <w:sz w:val="20"/>
          <w:lang w:val="en-ZA"/>
        </w:rPr>
        <w:t>pecial leave may be considered.</w:t>
      </w:r>
      <w:r w:rsidRPr="00E16D7D">
        <w:rPr>
          <w:sz w:val="20"/>
          <w:lang w:val="en-ZA"/>
        </w:rPr>
        <w:t xml:space="preserve"> The application for leave must be accompanied by a</w:t>
      </w:r>
      <w:r w:rsidR="008E5A45" w:rsidRPr="00E16D7D">
        <w:rPr>
          <w:sz w:val="20"/>
          <w:lang w:val="en-ZA"/>
        </w:rPr>
        <w:t xml:space="preserve"> copy of the official summons/</w:t>
      </w:r>
      <w:r w:rsidRPr="00E16D7D">
        <w:rPr>
          <w:sz w:val="20"/>
          <w:lang w:val="en-ZA"/>
        </w:rPr>
        <w:t>subpoena.</w:t>
      </w:r>
    </w:p>
    <w:p w:rsidR="00B9786C" w:rsidRPr="00E16D7D" w:rsidRDefault="00B9786C" w:rsidP="00783B81">
      <w:pPr>
        <w:pStyle w:val="BodyTextIndent"/>
        <w:jc w:val="left"/>
        <w:rPr>
          <w:sz w:val="20"/>
          <w:lang w:val="en-ZA"/>
        </w:rPr>
      </w:pPr>
    </w:p>
    <w:p w:rsidR="00B9786C" w:rsidRPr="00E16D7D" w:rsidRDefault="00160453" w:rsidP="00783B81">
      <w:pPr>
        <w:pStyle w:val="BodyTextIndent"/>
        <w:numPr>
          <w:ilvl w:val="0"/>
          <w:numId w:val="2"/>
        </w:numPr>
        <w:jc w:val="left"/>
        <w:rPr>
          <w:b/>
          <w:sz w:val="20"/>
          <w:lang w:val="en-ZA"/>
        </w:rPr>
      </w:pPr>
      <w:r w:rsidRPr="00E16D7D">
        <w:rPr>
          <w:b/>
          <w:sz w:val="20"/>
          <w:lang w:val="en-ZA"/>
        </w:rPr>
        <w:t>To relocate in a new environment</w:t>
      </w:r>
    </w:p>
    <w:p w:rsidR="00B9786C" w:rsidRPr="00E16D7D" w:rsidRDefault="00B9786C" w:rsidP="00783B81">
      <w:pPr>
        <w:pStyle w:val="BodyTextIndent"/>
        <w:jc w:val="left"/>
        <w:rPr>
          <w:b/>
          <w:sz w:val="20"/>
          <w:lang w:val="en-ZA"/>
        </w:rPr>
      </w:pPr>
    </w:p>
    <w:p w:rsidR="00B9786C" w:rsidRPr="00E16D7D" w:rsidRDefault="00B9786C" w:rsidP="00E16D7D">
      <w:pPr>
        <w:pStyle w:val="BodyTextIndent"/>
        <w:ind w:left="567" w:firstLine="0"/>
        <w:rPr>
          <w:sz w:val="20"/>
          <w:lang w:val="en-ZA"/>
        </w:rPr>
      </w:pPr>
      <w:r w:rsidRPr="00E16D7D">
        <w:rPr>
          <w:sz w:val="20"/>
          <w:lang w:val="en-ZA"/>
        </w:rPr>
        <w:t xml:space="preserve">Where an employee has been </w:t>
      </w:r>
      <w:r w:rsidR="00160453" w:rsidRPr="00E16D7D">
        <w:rPr>
          <w:sz w:val="20"/>
          <w:lang w:val="en-ZA"/>
        </w:rPr>
        <w:t>transferred by the company</w:t>
      </w:r>
      <w:r w:rsidR="008E5A45" w:rsidRPr="00E16D7D">
        <w:rPr>
          <w:sz w:val="20"/>
          <w:lang w:val="en-ZA"/>
        </w:rPr>
        <w:t>,</w:t>
      </w:r>
      <w:r w:rsidR="00160453" w:rsidRPr="00E16D7D">
        <w:rPr>
          <w:sz w:val="20"/>
          <w:lang w:val="en-ZA"/>
        </w:rPr>
        <w:t xml:space="preserve"> he/she may be granted up to five</w:t>
      </w:r>
      <w:r w:rsidRPr="00E16D7D">
        <w:rPr>
          <w:sz w:val="20"/>
          <w:lang w:val="en-ZA"/>
        </w:rPr>
        <w:t xml:space="preserve"> working days as paid special leave to attend to accommodation a</w:t>
      </w:r>
      <w:r w:rsidR="00160453" w:rsidRPr="00E16D7D">
        <w:rPr>
          <w:sz w:val="20"/>
          <w:lang w:val="en-ZA"/>
        </w:rPr>
        <w:t>nd other personal arrangements.</w:t>
      </w:r>
      <w:r w:rsidRPr="00E16D7D">
        <w:rPr>
          <w:sz w:val="20"/>
          <w:lang w:val="en-ZA"/>
        </w:rPr>
        <w:t xml:space="preserve"> Normal leave application procedures apply.</w:t>
      </w:r>
    </w:p>
    <w:p w:rsidR="00B9786C" w:rsidRPr="00E16D7D" w:rsidRDefault="00B9786C" w:rsidP="00E16D7D">
      <w:pPr>
        <w:jc w:val="both"/>
        <w:rPr>
          <w:rFonts w:ascii="Arial" w:hAnsi="Arial"/>
          <w:sz w:val="20"/>
        </w:rPr>
      </w:pPr>
    </w:p>
    <w:p w:rsidR="00B9786C" w:rsidRPr="00E16D7D" w:rsidRDefault="00B9786C" w:rsidP="00783B81">
      <w:pPr>
        <w:jc w:val="both"/>
        <w:rPr>
          <w:rFonts w:ascii="Arial" w:hAnsi="Arial"/>
          <w:sz w:val="20"/>
        </w:rPr>
      </w:pPr>
    </w:p>
    <w:p w:rsidR="00B9786C" w:rsidRPr="00E16D7D" w:rsidRDefault="00B9786C" w:rsidP="00783B81">
      <w:pPr>
        <w:jc w:val="both"/>
        <w:rPr>
          <w:rFonts w:ascii="Arial" w:hAnsi="Arial"/>
          <w:sz w:val="20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  <w:rPr>
          <w:rFonts w:ascii="Arial" w:hAnsi="Arial"/>
          <w:sz w:val="22"/>
        </w:rPr>
      </w:pPr>
    </w:p>
    <w:p w:rsidR="00B9786C" w:rsidRDefault="00B9786C" w:rsidP="00783B81">
      <w:pPr>
        <w:jc w:val="both"/>
      </w:pPr>
    </w:p>
    <w:sectPr w:rsidR="00B9786C" w:rsidSect="006A0158">
      <w:footerReference w:type="default" r:id="rId8"/>
      <w:pgSz w:w="12240" w:h="15840"/>
      <w:pgMar w:top="1135" w:right="1325" w:bottom="1440" w:left="1276" w:header="708" w:footer="2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49" w:rsidRDefault="00F23249">
      <w:r>
        <w:separator/>
      </w:r>
    </w:p>
  </w:endnote>
  <w:endnote w:type="continuationSeparator" w:id="0">
    <w:p w:rsidR="00F23249" w:rsidRDefault="00F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914846" w:rsidRPr="00914846" w:rsidTr="00914846">
      <w:trPr>
        <w:jc w:val="center"/>
      </w:trPr>
      <w:tc>
        <w:tcPr>
          <w:tcW w:w="6597" w:type="dxa"/>
          <w:vAlign w:val="center"/>
          <w:hideMark/>
        </w:tcPr>
        <w:p w:rsidR="00914846" w:rsidRPr="00914846" w:rsidRDefault="00914846" w:rsidP="00914846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</w:pPr>
          <w:r w:rsidRPr="00914846"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  <w:t>COPYRIGHT © JHG Personnel Practitioners 2015</w:t>
          </w:r>
        </w:p>
      </w:tc>
      <w:tc>
        <w:tcPr>
          <w:tcW w:w="2667" w:type="dxa"/>
          <w:hideMark/>
        </w:tcPr>
        <w:p w:rsidR="00914846" w:rsidRPr="00914846" w:rsidRDefault="001A7727" w:rsidP="00914846">
          <w:pPr>
            <w:jc w:val="center"/>
            <w:rPr>
              <w:rFonts w:ascii="Arial" w:eastAsia="Calibri" w:hAnsi="Arial"/>
              <w:sz w:val="22"/>
              <w:szCs w:val="24"/>
              <w:lang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/>
            </w:rPr>
            <w:drawing>
              <wp:inline distT="0" distB="0" distL="0" distR="0">
                <wp:extent cx="1388745" cy="711200"/>
                <wp:effectExtent l="0" t="0" r="8255" b="0"/>
                <wp:docPr id="1" name="Picture 1" descr="JH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H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6D7D" w:rsidRPr="00914846" w:rsidRDefault="00E16D7D" w:rsidP="009148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49" w:rsidRDefault="00F23249">
      <w:r>
        <w:separator/>
      </w:r>
    </w:p>
  </w:footnote>
  <w:footnote w:type="continuationSeparator" w:id="0">
    <w:p w:rsidR="00F23249" w:rsidRDefault="00F2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0AC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2F7F43"/>
    <w:multiLevelType w:val="singleLevel"/>
    <w:tmpl w:val="E5F459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3A354891"/>
    <w:multiLevelType w:val="singleLevel"/>
    <w:tmpl w:val="70A4A4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3">
    <w:nsid w:val="3C037542"/>
    <w:multiLevelType w:val="hybridMultilevel"/>
    <w:tmpl w:val="72CEBC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6C"/>
    <w:rsid w:val="00160453"/>
    <w:rsid w:val="001A7727"/>
    <w:rsid w:val="002D5C06"/>
    <w:rsid w:val="00362ABE"/>
    <w:rsid w:val="004976BC"/>
    <w:rsid w:val="004D35A7"/>
    <w:rsid w:val="0068590F"/>
    <w:rsid w:val="006A0158"/>
    <w:rsid w:val="00783B81"/>
    <w:rsid w:val="007D441E"/>
    <w:rsid w:val="00886651"/>
    <w:rsid w:val="008E5A45"/>
    <w:rsid w:val="00914846"/>
    <w:rsid w:val="009C0A8F"/>
    <w:rsid w:val="00B9786C"/>
    <w:rsid w:val="00D25AE9"/>
    <w:rsid w:val="00E16D7D"/>
    <w:rsid w:val="00F23249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6C"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9786C"/>
    <w:pPr>
      <w:suppressAutoHyphens/>
      <w:ind w:left="2977" w:hanging="2268"/>
      <w:jc w:val="both"/>
    </w:pPr>
    <w:rPr>
      <w:rFonts w:ascii="Arial" w:hAnsi="Arial"/>
      <w:spacing w:val="-3"/>
      <w:sz w:val="22"/>
      <w:lang w:val="en-GB"/>
    </w:rPr>
  </w:style>
  <w:style w:type="paragraph" w:styleId="Header">
    <w:name w:val="header"/>
    <w:basedOn w:val="Normal"/>
    <w:rsid w:val="00783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B8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6C"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9786C"/>
    <w:pPr>
      <w:suppressAutoHyphens/>
      <w:ind w:left="2977" w:hanging="2268"/>
      <w:jc w:val="both"/>
    </w:pPr>
    <w:rPr>
      <w:rFonts w:ascii="Arial" w:hAnsi="Arial"/>
      <w:spacing w:val="-3"/>
      <w:sz w:val="22"/>
      <w:lang w:val="en-GB"/>
    </w:rPr>
  </w:style>
  <w:style w:type="paragraph" w:styleId="Header">
    <w:name w:val="header"/>
    <w:basedOn w:val="Normal"/>
    <w:rsid w:val="00783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B8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Leave</vt:lpstr>
    </vt:vector>
  </TitlesOfParts>
  <Company>CHA Group of Companies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Leave</dc:title>
  <dc:subject/>
  <dc:creator>Peter Heres</dc:creator>
  <cp:keywords/>
  <cp:lastModifiedBy>Patricia Polanz</cp:lastModifiedBy>
  <cp:revision>2</cp:revision>
  <dcterms:created xsi:type="dcterms:W3CDTF">2015-01-26T10:24:00Z</dcterms:created>
  <dcterms:modified xsi:type="dcterms:W3CDTF">2015-01-26T10:24:00Z</dcterms:modified>
</cp:coreProperties>
</file>